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F0BBD" w14:textId="77777777" w:rsidR="00373CC7" w:rsidRPr="0049312F" w:rsidRDefault="00AE3A01">
      <w:pPr>
        <w:spacing w:after="123"/>
        <w:ind w:left="3"/>
        <w:jc w:val="center"/>
        <w:rPr>
          <w:rFonts w:ascii="Arial" w:hAnsi="Arial" w:cs="Arial"/>
          <w:color w:val="auto"/>
        </w:rPr>
      </w:pPr>
      <w:r w:rsidRPr="0049312F">
        <w:rPr>
          <w:rFonts w:ascii="Arial" w:eastAsia="Arial" w:hAnsi="Arial" w:cs="Arial"/>
          <w:b/>
          <w:color w:val="auto"/>
          <w:sz w:val="28"/>
          <w:u w:val="single" w:color="000000"/>
        </w:rPr>
        <w:t>Target Market Statement – Q Underwriting - Faith Combined</w:t>
      </w:r>
      <w:r w:rsidRPr="0049312F">
        <w:rPr>
          <w:rFonts w:ascii="Arial" w:eastAsia="Arial" w:hAnsi="Arial" w:cs="Arial"/>
          <w:b/>
          <w:color w:val="auto"/>
          <w:sz w:val="28"/>
        </w:rPr>
        <w:t xml:space="preserve"> </w:t>
      </w:r>
    </w:p>
    <w:p w14:paraId="191C266C" w14:textId="77777777" w:rsidR="0049312F" w:rsidRDefault="0049312F">
      <w:pPr>
        <w:spacing w:after="135" w:line="251" w:lineRule="auto"/>
        <w:ind w:left="-5" w:hanging="10"/>
        <w:rPr>
          <w:rFonts w:ascii="Arial" w:eastAsia="Arial" w:hAnsi="Arial" w:cs="Arial"/>
          <w:b/>
          <w:color w:val="auto"/>
          <w:sz w:val="24"/>
        </w:rPr>
      </w:pPr>
    </w:p>
    <w:p w14:paraId="05C23505" w14:textId="3D0C3A0F"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What is this product?</w:t>
      </w:r>
      <w:r w:rsidRPr="0049312F">
        <w:rPr>
          <w:rFonts w:ascii="Arial" w:eastAsia="Arial" w:hAnsi="Arial" w:cs="Arial"/>
          <w:color w:val="auto"/>
          <w:sz w:val="24"/>
        </w:rPr>
        <w:t xml:space="preserve"> </w:t>
      </w:r>
    </w:p>
    <w:p w14:paraId="0678AEC0"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This is a Commercial Lines General Insurance product suitable for places of worship and associated faith organisations based in the UK. </w:t>
      </w:r>
    </w:p>
    <w:p w14:paraId="5ED4BC7D" w14:textId="77777777"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What customer need is met by this product?</w:t>
      </w:r>
      <w:r w:rsidRPr="0049312F">
        <w:rPr>
          <w:rFonts w:ascii="Arial" w:eastAsia="Arial" w:hAnsi="Arial" w:cs="Arial"/>
          <w:color w:val="auto"/>
          <w:sz w:val="24"/>
        </w:rPr>
        <w:t xml:space="preserve"> </w:t>
      </w:r>
    </w:p>
    <w:p w14:paraId="224FDEDB"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Faith Combined is a commercial insurance product specifically for the Faith sector. The product is sold as a package with </w:t>
      </w:r>
      <w:proofErr w:type="gramStart"/>
      <w:r w:rsidRPr="0049312F">
        <w:rPr>
          <w:rFonts w:ascii="Arial" w:eastAsia="Arial" w:hAnsi="Arial" w:cs="Arial"/>
          <w:color w:val="auto"/>
          <w:sz w:val="24"/>
        </w:rPr>
        <w:t>a number of</w:t>
      </w:r>
      <w:proofErr w:type="gramEnd"/>
      <w:r w:rsidRPr="0049312F">
        <w:rPr>
          <w:rFonts w:ascii="Arial" w:eastAsia="Arial" w:hAnsi="Arial" w:cs="Arial"/>
          <w:color w:val="auto"/>
          <w:sz w:val="24"/>
        </w:rPr>
        <w:t xml:space="preserve"> mandatory sections, and other covers being optional, which allows the customer to build a commercial insurance solution specifically for their organisation. The following covers are available: </w:t>
      </w:r>
    </w:p>
    <w:p w14:paraId="6D252A0F" w14:textId="77777777" w:rsidR="00373CC7" w:rsidRPr="0049312F" w:rsidRDefault="00AE3A01">
      <w:pPr>
        <w:pStyle w:val="Heading1"/>
        <w:ind w:left="-5"/>
        <w:rPr>
          <w:color w:val="auto"/>
        </w:rPr>
      </w:pPr>
      <w:r w:rsidRPr="0049312F">
        <w:rPr>
          <w:color w:val="auto"/>
        </w:rPr>
        <w:t xml:space="preserve">Property Damage All Risks             </w:t>
      </w:r>
      <w:r w:rsidRPr="0049312F">
        <w:rPr>
          <w:b w:val="0"/>
          <w:color w:val="auto"/>
        </w:rPr>
        <w:t xml:space="preserve"> </w:t>
      </w:r>
    </w:p>
    <w:p w14:paraId="45CB6B9F"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Financial protection for the organisation’s assets (including machinery, stock, contents, or buildings) following damage through events such as fire, theft, flood, escape of water, and subsidence. </w:t>
      </w:r>
    </w:p>
    <w:p w14:paraId="27EC9B70" w14:textId="77777777" w:rsidR="00373CC7" w:rsidRPr="0049312F" w:rsidRDefault="00AE3A01">
      <w:pPr>
        <w:pStyle w:val="Heading1"/>
        <w:ind w:left="-5"/>
        <w:rPr>
          <w:color w:val="auto"/>
        </w:rPr>
      </w:pPr>
      <w:r w:rsidRPr="0049312F">
        <w:rPr>
          <w:color w:val="auto"/>
        </w:rPr>
        <w:t>Business Interruption All Risks</w:t>
      </w:r>
      <w:r w:rsidRPr="0049312F">
        <w:rPr>
          <w:b w:val="0"/>
          <w:color w:val="auto"/>
        </w:rPr>
        <w:t xml:space="preserve"> </w:t>
      </w:r>
    </w:p>
    <w:p w14:paraId="3B13E803"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Cover for loss of income or extra expenses incurred following insured damage to property. </w:t>
      </w:r>
    </w:p>
    <w:p w14:paraId="05B88A25" w14:textId="77777777" w:rsidR="00373CC7" w:rsidRPr="0049312F" w:rsidRDefault="00AE3A01">
      <w:pPr>
        <w:pStyle w:val="Heading1"/>
        <w:ind w:left="-5"/>
        <w:rPr>
          <w:color w:val="auto"/>
        </w:rPr>
      </w:pPr>
      <w:r w:rsidRPr="0049312F">
        <w:rPr>
          <w:color w:val="auto"/>
        </w:rPr>
        <w:t xml:space="preserve">Specified Business Equipment All Risks </w:t>
      </w:r>
    </w:p>
    <w:p w14:paraId="35EBD566" w14:textId="77777777" w:rsidR="0049312F" w:rsidRPr="0049312F" w:rsidRDefault="00AE3A01">
      <w:pPr>
        <w:spacing w:after="70" w:line="305" w:lineRule="auto"/>
        <w:ind w:left="-5" w:right="4" w:hanging="10"/>
        <w:jc w:val="both"/>
        <w:rPr>
          <w:rFonts w:ascii="Arial" w:eastAsia="Arial" w:hAnsi="Arial" w:cs="Arial"/>
          <w:b/>
          <w:color w:val="auto"/>
          <w:sz w:val="24"/>
        </w:rPr>
      </w:pPr>
      <w:r w:rsidRPr="0049312F">
        <w:rPr>
          <w:rFonts w:ascii="Arial" w:eastAsia="Arial" w:hAnsi="Arial" w:cs="Arial"/>
          <w:color w:val="auto"/>
          <w:sz w:val="24"/>
        </w:rPr>
        <w:t>Financial protection for the portable organisation’s assets requiring cover away from the business premises following damage</w:t>
      </w:r>
      <w:r w:rsidRPr="0049312F">
        <w:rPr>
          <w:rFonts w:ascii="Arial" w:eastAsia="Arial" w:hAnsi="Arial" w:cs="Arial"/>
          <w:b/>
          <w:color w:val="auto"/>
          <w:sz w:val="24"/>
        </w:rPr>
        <w:t xml:space="preserve"> </w:t>
      </w:r>
    </w:p>
    <w:p w14:paraId="139852C2" w14:textId="298A33A4" w:rsidR="00373CC7" w:rsidRPr="0049312F" w:rsidRDefault="00AE3A01">
      <w:pPr>
        <w:spacing w:after="70" w:line="305" w:lineRule="auto"/>
        <w:ind w:left="-5" w:right="4" w:hanging="10"/>
        <w:jc w:val="both"/>
        <w:rPr>
          <w:rFonts w:ascii="Arial" w:hAnsi="Arial" w:cs="Arial"/>
          <w:color w:val="auto"/>
        </w:rPr>
      </w:pPr>
      <w:r w:rsidRPr="0049312F">
        <w:rPr>
          <w:rFonts w:ascii="Arial" w:eastAsia="Arial" w:hAnsi="Arial" w:cs="Arial"/>
          <w:b/>
          <w:color w:val="auto"/>
          <w:sz w:val="24"/>
        </w:rPr>
        <w:t xml:space="preserve">Terrorism </w:t>
      </w:r>
    </w:p>
    <w:p w14:paraId="55ABA17C"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Financial protection for the organisation’s assets and loss of income following an Act of Terrorism</w:t>
      </w:r>
      <w:r w:rsidRPr="0049312F">
        <w:rPr>
          <w:rFonts w:ascii="Arial" w:eastAsia="Arial" w:hAnsi="Arial" w:cs="Arial"/>
          <w:b/>
          <w:color w:val="auto"/>
          <w:sz w:val="24"/>
        </w:rPr>
        <w:t xml:space="preserve"> </w:t>
      </w:r>
    </w:p>
    <w:p w14:paraId="345EF70D" w14:textId="77777777" w:rsidR="00373CC7" w:rsidRPr="0049312F" w:rsidRDefault="00AE3A01">
      <w:pPr>
        <w:pStyle w:val="Heading1"/>
        <w:spacing w:after="158"/>
        <w:ind w:left="-5"/>
        <w:rPr>
          <w:color w:val="auto"/>
        </w:rPr>
      </w:pPr>
      <w:r w:rsidRPr="0049312F">
        <w:rPr>
          <w:color w:val="auto"/>
        </w:rPr>
        <w:t>Equipment Breakdown</w:t>
      </w:r>
      <w:r w:rsidRPr="0049312F">
        <w:rPr>
          <w:b w:val="0"/>
          <w:color w:val="auto"/>
        </w:rPr>
        <w:t xml:space="preserve"> </w:t>
      </w:r>
    </w:p>
    <w:p w14:paraId="3A3881DE"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Financial protection for the organisation’s assets (including machinery, plant, computer, and electronic equipment) should they be damaged or destroyed by events such as fire or breakdown, and for loss of business income following insured damage to property. </w:t>
      </w:r>
    </w:p>
    <w:p w14:paraId="24DAFAD1" w14:textId="77777777" w:rsidR="00373CC7" w:rsidRPr="0049312F" w:rsidRDefault="00AE3A01">
      <w:pPr>
        <w:pStyle w:val="Heading1"/>
        <w:ind w:left="-5"/>
        <w:rPr>
          <w:color w:val="auto"/>
        </w:rPr>
      </w:pPr>
      <w:r w:rsidRPr="0049312F">
        <w:rPr>
          <w:color w:val="auto"/>
        </w:rPr>
        <w:t xml:space="preserve">Money and Personal Accident Assault </w:t>
      </w:r>
    </w:p>
    <w:p w14:paraId="7FD4DD3E"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Financial protection for the business’ financial assets such as cash, and financial benefit for employees assaulted </w:t>
      </w:r>
      <w:proofErr w:type="gramStart"/>
      <w:r w:rsidRPr="0049312F">
        <w:rPr>
          <w:rFonts w:ascii="Arial" w:eastAsia="Arial" w:hAnsi="Arial" w:cs="Arial"/>
          <w:color w:val="auto"/>
          <w:sz w:val="24"/>
        </w:rPr>
        <w:t>in the course of</w:t>
      </w:r>
      <w:proofErr w:type="gramEnd"/>
      <w:r w:rsidRPr="0049312F">
        <w:rPr>
          <w:rFonts w:ascii="Arial" w:eastAsia="Arial" w:hAnsi="Arial" w:cs="Arial"/>
          <w:color w:val="auto"/>
          <w:sz w:val="24"/>
        </w:rPr>
        <w:t xml:space="preserve"> a robbery</w:t>
      </w:r>
      <w:r w:rsidRPr="0049312F">
        <w:rPr>
          <w:rFonts w:ascii="Arial" w:eastAsia="Arial" w:hAnsi="Arial" w:cs="Arial"/>
          <w:b/>
          <w:color w:val="auto"/>
          <w:sz w:val="24"/>
        </w:rPr>
        <w:t xml:space="preserve"> </w:t>
      </w:r>
    </w:p>
    <w:p w14:paraId="24389201" w14:textId="77777777" w:rsidR="00373CC7" w:rsidRPr="0049312F" w:rsidRDefault="00AE3A01">
      <w:pPr>
        <w:pStyle w:val="Heading1"/>
        <w:ind w:left="-5"/>
        <w:rPr>
          <w:color w:val="auto"/>
        </w:rPr>
      </w:pPr>
      <w:r w:rsidRPr="0049312F">
        <w:rPr>
          <w:color w:val="auto"/>
        </w:rPr>
        <w:t xml:space="preserve">Goods In Transit </w:t>
      </w:r>
    </w:p>
    <w:p w14:paraId="2945FB38"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Financial protection for assets belonging to the organisation or third parties whilst they are in the process of being transported or delivered</w:t>
      </w:r>
      <w:r w:rsidRPr="0049312F">
        <w:rPr>
          <w:rFonts w:ascii="Arial" w:eastAsia="Arial" w:hAnsi="Arial" w:cs="Arial"/>
          <w:b/>
          <w:color w:val="auto"/>
          <w:sz w:val="24"/>
        </w:rPr>
        <w:t xml:space="preserve"> </w:t>
      </w:r>
    </w:p>
    <w:p w14:paraId="7CC3586D" w14:textId="77777777" w:rsidR="00373CC7" w:rsidRPr="0049312F" w:rsidRDefault="00AE3A01">
      <w:pPr>
        <w:pStyle w:val="Heading1"/>
        <w:ind w:left="-5"/>
        <w:rPr>
          <w:color w:val="auto"/>
        </w:rPr>
      </w:pPr>
      <w:r w:rsidRPr="0049312F">
        <w:rPr>
          <w:color w:val="auto"/>
        </w:rPr>
        <w:lastRenderedPageBreak/>
        <w:t xml:space="preserve">Employers Liability   </w:t>
      </w:r>
      <w:r w:rsidRPr="0049312F">
        <w:rPr>
          <w:b w:val="0"/>
          <w:color w:val="auto"/>
        </w:rPr>
        <w:t xml:space="preserve"> </w:t>
      </w:r>
    </w:p>
    <w:p w14:paraId="6D243991"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Cover for the organisation’s legal liability to its employees or volunteers for bodily injury. </w:t>
      </w:r>
    </w:p>
    <w:p w14:paraId="21C16624" w14:textId="77777777" w:rsidR="00373CC7" w:rsidRPr="0049312F" w:rsidRDefault="00AE3A01">
      <w:pPr>
        <w:spacing w:after="0"/>
        <w:rPr>
          <w:rFonts w:ascii="Arial" w:hAnsi="Arial" w:cs="Arial"/>
          <w:color w:val="auto"/>
        </w:rPr>
      </w:pPr>
      <w:r w:rsidRPr="0049312F">
        <w:rPr>
          <w:rFonts w:ascii="Arial" w:eastAsia="Arial" w:hAnsi="Arial" w:cs="Arial"/>
          <w:color w:val="auto"/>
          <w:sz w:val="24"/>
        </w:rPr>
        <w:t xml:space="preserve"> </w:t>
      </w:r>
    </w:p>
    <w:p w14:paraId="13782D4D" w14:textId="77777777" w:rsidR="00373CC7" w:rsidRPr="0049312F" w:rsidRDefault="00AE3A01">
      <w:pPr>
        <w:pStyle w:val="Heading1"/>
        <w:ind w:left="-5"/>
        <w:rPr>
          <w:color w:val="auto"/>
        </w:rPr>
      </w:pPr>
      <w:r w:rsidRPr="0049312F">
        <w:rPr>
          <w:color w:val="auto"/>
        </w:rPr>
        <w:t xml:space="preserve">Public Liability </w:t>
      </w:r>
    </w:p>
    <w:p w14:paraId="7C803526" w14:textId="77777777" w:rsidR="0049312F" w:rsidRPr="0049312F" w:rsidRDefault="00AE3A01">
      <w:pPr>
        <w:spacing w:after="80" w:line="305" w:lineRule="auto"/>
        <w:ind w:left="-5" w:right="4" w:hanging="10"/>
        <w:jc w:val="both"/>
        <w:rPr>
          <w:rFonts w:ascii="Arial" w:eastAsia="Arial" w:hAnsi="Arial" w:cs="Arial"/>
          <w:color w:val="auto"/>
          <w:sz w:val="24"/>
        </w:rPr>
      </w:pPr>
      <w:r w:rsidRPr="0049312F">
        <w:rPr>
          <w:rFonts w:ascii="Arial" w:eastAsia="Arial" w:hAnsi="Arial" w:cs="Arial"/>
          <w:color w:val="auto"/>
          <w:sz w:val="24"/>
        </w:rPr>
        <w:t xml:space="preserve">Cover for the organisation’s legal liability to third parties for property damage or personal injury </w:t>
      </w:r>
    </w:p>
    <w:p w14:paraId="046E9B9F" w14:textId="33667416" w:rsidR="00373CC7" w:rsidRPr="0049312F" w:rsidRDefault="00AE3A01">
      <w:pPr>
        <w:spacing w:after="80" w:line="305" w:lineRule="auto"/>
        <w:ind w:left="-5" w:right="4" w:hanging="10"/>
        <w:jc w:val="both"/>
        <w:rPr>
          <w:rFonts w:ascii="Arial" w:hAnsi="Arial" w:cs="Arial"/>
          <w:color w:val="auto"/>
        </w:rPr>
      </w:pPr>
      <w:r w:rsidRPr="0049312F">
        <w:rPr>
          <w:rFonts w:ascii="Arial" w:eastAsia="Arial" w:hAnsi="Arial" w:cs="Arial"/>
          <w:b/>
          <w:color w:val="auto"/>
          <w:sz w:val="24"/>
        </w:rPr>
        <w:t xml:space="preserve">Products Liability </w:t>
      </w:r>
    </w:p>
    <w:p w14:paraId="2254E287"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Cover for the organisation’s legal liability to third parties for property damage or personal injury caused by products which they have manufactured or supplied </w:t>
      </w:r>
    </w:p>
    <w:p w14:paraId="2D831EA0" w14:textId="77777777" w:rsidR="00373CC7" w:rsidRPr="0049312F" w:rsidRDefault="00AE3A01">
      <w:pPr>
        <w:pStyle w:val="Heading1"/>
        <w:ind w:left="-5"/>
        <w:rPr>
          <w:color w:val="auto"/>
        </w:rPr>
      </w:pPr>
      <w:r w:rsidRPr="0049312F">
        <w:rPr>
          <w:color w:val="auto"/>
        </w:rPr>
        <w:t xml:space="preserve">Loss of Licence or Registration </w:t>
      </w:r>
    </w:p>
    <w:p w14:paraId="1A3AA1D7"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Cover protecting the organisation against a loss of licence or registration which they require </w:t>
      </w:r>
      <w:proofErr w:type="gramStart"/>
      <w:r w:rsidRPr="0049312F">
        <w:rPr>
          <w:rFonts w:ascii="Arial" w:eastAsia="Arial" w:hAnsi="Arial" w:cs="Arial"/>
          <w:color w:val="auto"/>
          <w:sz w:val="24"/>
        </w:rPr>
        <w:t>in order to</w:t>
      </w:r>
      <w:proofErr w:type="gramEnd"/>
      <w:r w:rsidRPr="0049312F">
        <w:rPr>
          <w:rFonts w:ascii="Arial" w:eastAsia="Arial" w:hAnsi="Arial" w:cs="Arial"/>
          <w:color w:val="auto"/>
          <w:sz w:val="24"/>
        </w:rPr>
        <w:t xml:space="preserve"> trade </w:t>
      </w:r>
    </w:p>
    <w:p w14:paraId="565F740B" w14:textId="77777777" w:rsidR="00373CC7" w:rsidRPr="0049312F" w:rsidRDefault="00AE3A01">
      <w:pPr>
        <w:pStyle w:val="Heading1"/>
        <w:ind w:left="-5"/>
        <w:rPr>
          <w:color w:val="auto"/>
        </w:rPr>
      </w:pPr>
      <w:r w:rsidRPr="0049312F">
        <w:rPr>
          <w:color w:val="auto"/>
        </w:rPr>
        <w:t xml:space="preserve">Motor No Claims Discount and Excess Protection </w:t>
      </w:r>
    </w:p>
    <w:p w14:paraId="28119C71" w14:textId="77777777" w:rsidR="0049312F" w:rsidRPr="0049312F" w:rsidRDefault="00AE3A01">
      <w:pPr>
        <w:spacing w:after="65" w:line="309" w:lineRule="auto"/>
        <w:ind w:left="-5" w:right="4" w:hanging="10"/>
        <w:jc w:val="both"/>
        <w:rPr>
          <w:rFonts w:ascii="Arial" w:eastAsia="Arial" w:hAnsi="Arial" w:cs="Arial"/>
          <w:b/>
          <w:color w:val="auto"/>
          <w:sz w:val="24"/>
        </w:rPr>
      </w:pPr>
      <w:r w:rsidRPr="0049312F">
        <w:rPr>
          <w:rFonts w:ascii="Arial" w:eastAsia="Arial" w:hAnsi="Arial" w:cs="Arial"/>
          <w:color w:val="auto"/>
          <w:sz w:val="24"/>
        </w:rPr>
        <w:t>Financial protection for volunteer drivers using their own vehicles for the organisation’s business purposes</w:t>
      </w:r>
      <w:r w:rsidRPr="0049312F">
        <w:rPr>
          <w:rFonts w:ascii="Arial" w:eastAsia="Arial" w:hAnsi="Arial" w:cs="Arial"/>
          <w:b/>
          <w:color w:val="auto"/>
          <w:sz w:val="24"/>
        </w:rPr>
        <w:t xml:space="preserve"> </w:t>
      </w:r>
    </w:p>
    <w:p w14:paraId="26F3BA04" w14:textId="5D83E5BE" w:rsidR="00373CC7" w:rsidRPr="0049312F" w:rsidRDefault="00AE3A01">
      <w:pPr>
        <w:spacing w:after="65" w:line="309" w:lineRule="auto"/>
        <w:ind w:left="-5" w:right="4" w:hanging="10"/>
        <w:jc w:val="both"/>
        <w:rPr>
          <w:rFonts w:ascii="Arial" w:hAnsi="Arial" w:cs="Arial"/>
          <w:color w:val="auto"/>
        </w:rPr>
      </w:pPr>
      <w:r w:rsidRPr="0049312F">
        <w:rPr>
          <w:rFonts w:ascii="Arial" w:eastAsia="Arial" w:hAnsi="Arial" w:cs="Arial"/>
          <w:b/>
          <w:color w:val="auto"/>
          <w:sz w:val="24"/>
        </w:rPr>
        <w:t xml:space="preserve">Group Personal Accident </w:t>
      </w:r>
      <w:r w:rsidRPr="0049312F">
        <w:rPr>
          <w:rFonts w:ascii="Arial" w:eastAsia="Arial" w:hAnsi="Arial" w:cs="Arial"/>
          <w:color w:val="auto"/>
          <w:sz w:val="24"/>
        </w:rPr>
        <w:t xml:space="preserve"> </w:t>
      </w:r>
    </w:p>
    <w:p w14:paraId="6F33F422"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Payment of a financial benefit in the event of accidental bodily injury to an employee  </w:t>
      </w:r>
    </w:p>
    <w:p w14:paraId="37299D89" w14:textId="77777777" w:rsidR="00373CC7" w:rsidRPr="0049312F" w:rsidRDefault="00AE3A01">
      <w:pPr>
        <w:pStyle w:val="Heading1"/>
        <w:ind w:left="-5"/>
        <w:rPr>
          <w:color w:val="auto"/>
        </w:rPr>
      </w:pPr>
      <w:r w:rsidRPr="0049312F">
        <w:rPr>
          <w:color w:val="auto"/>
        </w:rPr>
        <w:t xml:space="preserve">Legal Expenses </w:t>
      </w:r>
      <w:r w:rsidRPr="0049312F">
        <w:rPr>
          <w:b w:val="0"/>
          <w:color w:val="auto"/>
        </w:rPr>
        <w:t xml:space="preserve"> </w:t>
      </w:r>
    </w:p>
    <w:p w14:paraId="528D5ADF"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Access to legal advice to help pursue or defend a variety of legal proceedings, including property protection, employment, tax, and contract disputes. </w:t>
      </w:r>
    </w:p>
    <w:p w14:paraId="13E40F81" w14:textId="77777777" w:rsidR="00373CC7" w:rsidRPr="0049312F" w:rsidRDefault="00AE3A01">
      <w:pPr>
        <w:pStyle w:val="Heading1"/>
        <w:ind w:left="-5"/>
        <w:rPr>
          <w:color w:val="auto"/>
        </w:rPr>
      </w:pPr>
      <w:r w:rsidRPr="0049312F">
        <w:rPr>
          <w:color w:val="auto"/>
        </w:rPr>
        <w:t xml:space="preserve">Executive Risks - Trustees Directors and Officers Liability </w:t>
      </w:r>
    </w:p>
    <w:p w14:paraId="2F339052" w14:textId="77777777" w:rsidR="00373CC7" w:rsidRPr="0049312F" w:rsidRDefault="00AE3A01">
      <w:pPr>
        <w:spacing w:after="146" w:line="250" w:lineRule="auto"/>
        <w:ind w:left="-5" w:right="4" w:hanging="10"/>
        <w:jc w:val="both"/>
        <w:rPr>
          <w:rFonts w:ascii="Arial" w:hAnsi="Arial" w:cs="Arial"/>
          <w:color w:val="auto"/>
        </w:rPr>
      </w:pPr>
      <w:r w:rsidRPr="0049312F">
        <w:rPr>
          <w:rFonts w:ascii="Arial" w:eastAsia="Arial" w:hAnsi="Arial" w:cs="Arial"/>
          <w:color w:val="auto"/>
          <w:sz w:val="24"/>
        </w:rPr>
        <w:t xml:space="preserve">Cover protecting both individuals and companies against claims of mismanagement of the organisation. This includes optional extensions for </w:t>
      </w:r>
    </w:p>
    <w:p w14:paraId="68346610" w14:textId="77777777" w:rsidR="00373CC7" w:rsidRPr="0049312F" w:rsidRDefault="00AE3A01">
      <w:pPr>
        <w:pStyle w:val="Heading1"/>
        <w:spacing w:after="85"/>
        <w:ind w:left="370"/>
        <w:rPr>
          <w:color w:val="auto"/>
        </w:rPr>
      </w:pPr>
      <w:r w:rsidRPr="0049312F">
        <w:rPr>
          <w:rFonts w:eastAsia="Segoe UI Symbol"/>
          <w:b w:val="0"/>
          <w:color w:val="auto"/>
        </w:rPr>
        <w:t>•</w:t>
      </w:r>
      <w:r w:rsidRPr="0049312F">
        <w:rPr>
          <w:b w:val="0"/>
          <w:color w:val="auto"/>
        </w:rPr>
        <w:t xml:space="preserve"> </w:t>
      </w:r>
      <w:r w:rsidRPr="0049312F">
        <w:rPr>
          <w:color w:val="auto"/>
        </w:rPr>
        <w:t xml:space="preserve">Fidelity Guarantee / Crime </w:t>
      </w:r>
    </w:p>
    <w:p w14:paraId="3D3C7092" w14:textId="77777777" w:rsidR="00373CC7" w:rsidRPr="0049312F" w:rsidRDefault="00AE3A01">
      <w:pPr>
        <w:spacing w:after="146" w:line="250" w:lineRule="auto"/>
        <w:ind w:left="731" w:right="4" w:hanging="10"/>
        <w:jc w:val="both"/>
        <w:rPr>
          <w:rFonts w:ascii="Arial" w:hAnsi="Arial" w:cs="Arial"/>
          <w:color w:val="auto"/>
        </w:rPr>
      </w:pPr>
      <w:r w:rsidRPr="0049312F">
        <w:rPr>
          <w:rFonts w:ascii="Arial" w:eastAsia="Arial" w:hAnsi="Arial" w:cs="Arial"/>
          <w:color w:val="auto"/>
          <w:sz w:val="24"/>
        </w:rPr>
        <w:t xml:space="preserve">Cover for any loss of money or other property </w:t>
      </w:r>
      <w:proofErr w:type="gramStart"/>
      <w:r w:rsidRPr="0049312F">
        <w:rPr>
          <w:rFonts w:ascii="Arial" w:eastAsia="Arial" w:hAnsi="Arial" w:cs="Arial"/>
          <w:color w:val="auto"/>
          <w:sz w:val="24"/>
        </w:rPr>
        <w:t>as a result of</w:t>
      </w:r>
      <w:proofErr w:type="gramEnd"/>
      <w:r w:rsidRPr="0049312F">
        <w:rPr>
          <w:rFonts w:ascii="Arial" w:eastAsia="Arial" w:hAnsi="Arial" w:cs="Arial"/>
          <w:color w:val="auto"/>
          <w:sz w:val="24"/>
        </w:rPr>
        <w:t xml:space="preserve"> theft, fraud, or dishonesty by the business’ employees and/or third parties. </w:t>
      </w:r>
    </w:p>
    <w:p w14:paraId="52B75513" w14:textId="77777777" w:rsidR="00373CC7" w:rsidRPr="0049312F" w:rsidRDefault="00AE3A01">
      <w:pPr>
        <w:pStyle w:val="Heading1"/>
        <w:spacing w:after="95"/>
        <w:ind w:left="370"/>
        <w:rPr>
          <w:color w:val="auto"/>
        </w:rPr>
      </w:pPr>
      <w:r w:rsidRPr="0049312F">
        <w:rPr>
          <w:rFonts w:eastAsia="Segoe UI Symbol"/>
          <w:b w:val="0"/>
          <w:color w:val="auto"/>
        </w:rPr>
        <w:t>•</w:t>
      </w:r>
      <w:r w:rsidRPr="0049312F">
        <w:rPr>
          <w:b w:val="0"/>
          <w:color w:val="auto"/>
        </w:rPr>
        <w:t xml:space="preserve"> </w:t>
      </w:r>
      <w:r w:rsidRPr="0049312F">
        <w:rPr>
          <w:color w:val="auto"/>
        </w:rPr>
        <w:t>Professional Indemnity</w:t>
      </w:r>
      <w:r w:rsidRPr="0049312F">
        <w:rPr>
          <w:b w:val="0"/>
          <w:color w:val="auto"/>
        </w:rPr>
        <w:t xml:space="preserve"> </w:t>
      </w:r>
    </w:p>
    <w:p w14:paraId="5E47910B" w14:textId="77777777" w:rsidR="00373CC7" w:rsidRPr="0049312F" w:rsidRDefault="00AE3A01">
      <w:pPr>
        <w:spacing w:after="146" w:line="250" w:lineRule="auto"/>
        <w:ind w:left="731" w:right="4" w:hanging="10"/>
        <w:jc w:val="both"/>
        <w:rPr>
          <w:rFonts w:ascii="Arial" w:hAnsi="Arial" w:cs="Arial"/>
          <w:color w:val="auto"/>
        </w:rPr>
      </w:pPr>
      <w:r w:rsidRPr="0049312F">
        <w:rPr>
          <w:rFonts w:ascii="Arial" w:eastAsia="Arial" w:hAnsi="Arial" w:cs="Arial"/>
          <w:color w:val="auto"/>
          <w:sz w:val="24"/>
        </w:rPr>
        <w:t xml:space="preserve">Cover for organisations which require insurance protection against financial losses from a breach of professional duty. </w:t>
      </w:r>
    </w:p>
    <w:p w14:paraId="7A943659" w14:textId="77777777" w:rsidR="00373CC7" w:rsidRPr="0049312F" w:rsidRDefault="00AE3A01">
      <w:pPr>
        <w:pStyle w:val="Heading1"/>
        <w:spacing w:after="96"/>
        <w:ind w:left="370"/>
        <w:rPr>
          <w:color w:val="auto"/>
        </w:rPr>
      </w:pPr>
      <w:r w:rsidRPr="0049312F">
        <w:rPr>
          <w:rFonts w:eastAsia="Segoe UI Symbol"/>
          <w:b w:val="0"/>
          <w:color w:val="auto"/>
        </w:rPr>
        <w:t>•</w:t>
      </w:r>
      <w:r w:rsidRPr="0049312F">
        <w:rPr>
          <w:b w:val="0"/>
          <w:color w:val="auto"/>
        </w:rPr>
        <w:t xml:space="preserve"> </w:t>
      </w:r>
      <w:r w:rsidRPr="0049312F">
        <w:rPr>
          <w:color w:val="auto"/>
        </w:rPr>
        <w:t xml:space="preserve">Employment Practices Liability </w:t>
      </w:r>
    </w:p>
    <w:p w14:paraId="22F5EEFE" w14:textId="77777777" w:rsidR="00373CC7" w:rsidRPr="0049312F" w:rsidRDefault="00AE3A01">
      <w:pPr>
        <w:spacing w:after="146" w:line="250" w:lineRule="auto"/>
        <w:ind w:left="731" w:right="4" w:hanging="10"/>
        <w:jc w:val="both"/>
        <w:rPr>
          <w:rFonts w:ascii="Arial" w:hAnsi="Arial" w:cs="Arial"/>
          <w:color w:val="auto"/>
        </w:rPr>
      </w:pPr>
      <w:r w:rsidRPr="0049312F">
        <w:rPr>
          <w:rFonts w:ascii="Arial" w:eastAsia="Arial" w:hAnsi="Arial" w:cs="Arial"/>
          <w:color w:val="auto"/>
          <w:sz w:val="24"/>
        </w:rPr>
        <w:t>Cover protecting both individuals and companies against allegations they have breached employment legislation</w:t>
      </w:r>
      <w:r w:rsidRPr="0049312F">
        <w:rPr>
          <w:rFonts w:ascii="Arial" w:eastAsia="Arial" w:hAnsi="Arial" w:cs="Arial"/>
          <w:b/>
          <w:color w:val="auto"/>
          <w:sz w:val="24"/>
        </w:rPr>
        <w:t xml:space="preserve"> </w:t>
      </w:r>
    </w:p>
    <w:p w14:paraId="4FDE4716" w14:textId="77777777" w:rsidR="00373CC7" w:rsidRPr="0049312F" w:rsidRDefault="00AE3A01">
      <w:pPr>
        <w:pStyle w:val="Heading1"/>
        <w:ind w:left="-5"/>
        <w:rPr>
          <w:b w:val="0"/>
          <w:bCs/>
          <w:color w:val="auto"/>
        </w:rPr>
      </w:pPr>
      <w:r w:rsidRPr="0049312F">
        <w:rPr>
          <w:color w:val="auto"/>
        </w:rPr>
        <w:lastRenderedPageBreak/>
        <w:t xml:space="preserve">Property Damage Loss Recovery </w:t>
      </w:r>
      <w:r w:rsidRPr="0049312F">
        <w:rPr>
          <w:b w:val="0"/>
          <w:bCs/>
          <w:color w:val="auto"/>
        </w:rPr>
        <w:t xml:space="preserve">Provides the organisation with a claims management service following damage or destruction to physical property over £5,000 </w:t>
      </w:r>
    </w:p>
    <w:p w14:paraId="66F22071" w14:textId="035A0E6A" w:rsidR="00373CC7" w:rsidRPr="0049312F" w:rsidRDefault="00AE3A01" w:rsidP="00CA3F93">
      <w:pPr>
        <w:spacing w:after="122"/>
        <w:rPr>
          <w:rFonts w:ascii="Arial" w:eastAsia="Arial" w:hAnsi="Arial" w:cs="Arial"/>
          <w:b/>
          <w:color w:val="auto"/>
          <w:sz w:val="24"/>
        </w:rPr>
      </w:pPr>
      <w:r w:rsidRPr="0049312F">
        <w:rPr>
          <w:rFonts w:ascii="Arial" w:eastAsia="Arial" w:hAnsi="Arial" w:cs="Arial"/>
          <w:b/>
          <w:color w:val="auto"/>
          <w:sz w:val="24"/>
        </w:rPr>
        <w:t xml:space="preserve">   </w:t>
      </w:r>
    </w:p>
    <w:p w14:paraId="3709EA88" w14:textId="77777777" w:rsidR="0049312F" w:rsidRPr="0049312F" w:rsidRDefault="0049312F" w:rsidP="00CA3F93">
      <w:pPr>
        <w:spacing w:after="122"/>
        <w:rPr>
          <w:rFonts w:ascii="Arial" w:hAnsi="Arial" w:cs="Arial"/>
          <w:color w:val="auto"/>
        </w:rPr>
      </w:pPr>
    </w:p>
    <w:p w14:paraId="71D37420" w14:textId="77777777"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Who is this product designed for?</w:t>
      </w:r>
      <w:r w:rsidRPr="0049312F">
        <w:rPr>
          <w:rFonts w:ascii="Arial" w:eastAsia="Arial" w:hAnsi="Arial" w:cs="Arial"/>
          <w:color w:val="auto"/>
          <w:sz w:val="24"/>
        </w:rPr>
        <w:t xml:space="preserve"> </w:t>
      </w:r>
    </w:p>
    <w:p w14:paraId="581AF11A"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This product is designed for UK registered churches, temples, synagogues, mosques and other places of worship, and other faith-based organisations </w:t>
      </w:r>
    </w:p>
    <w:p w14:paraId="1CA0477E" w14:textId="77777777"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Who is this product not designed to support, or are there any features that you should be aware of when offering this product to your customers?</w:t>
      </w:r>
      <w:r w:rsidRPr="0049312F">
        <w:rPr>
          <w:rFonts w:ascii="Arial" w:eastAsia="Arial" w:hAnsi="Arial" w:cs="Arial"/>
          <w:color w:val="auto"/>
          <w:sz w:val="24"/>
        </w:rPr>
        <w:t xml:space="preserve"> </w:t>
      </w:r>
    </w:p>
    <w:p w14:paraId="4BE36678"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Customers who are not involved in running UK registered places of worship, or other UK registered faith-based organisations. </w:t>
      </w:r>
    </w:p>
    <w:p w14:paraId="6DDEDE2F"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This product is also not suitable for consumers as defined by the FCA. A consumer is classed as any person who is acting for purposes which are outside their trade or profession. </w:t>
      </w:r>
    </w:p>
    <w:p w14:paraId="19FEB40D" w14:textId="77777777"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Can this product be sold without advice?</w:t>
      </w:r>
      <w:r w:rsidRPr="0049312F">
        <w:rPr>
          <w:rFonts w:ascii="Arial" w:eastAsia="Arial" w:hAnsi="Arial" w:cs="Arial"/>
          <w:color w:val="auto"/>
          <w:sz w:val="24"/>
        </w:rPr>
        <w:t xml:space="preserve"> </w:t>
      </w:r>
    </w:p>
    <w:p w14:paraId="5B4E1DAE"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This product can be sold with or without advice depending on your preference and in line with FCA regulations. </w:t>
      </w:r>
    </w:p>
    <w:p w14:paraId="5ED57693" w14:textId="77777777" w:rsidR="00373CC7" w:rsidRPr="0049312F" w:rsidRDefault="00AE3A01">
      <w:pPr>
        <w:spacing w:after="135" w:line="251" w:lineRule="auto"/>
        <w:ind w:left="-5" w:hanging="10"/>
        <w:rPr>
          <w:rFonts w:ascii="Arial" w:hAnsi="Arial" w:cs="Arial"/>
          <w:color w:val="auto"/>
        </w:rPr>
      </w:pPr>
      <w:r w:rsidRPr="0049312F">
        <w:rPr>
          <w:rFonts w:ascii="Arial" w:eastAsia="Arial" w:hAnsi="Arial" w:cs="Arial"/>
          <w:b/>
          <w:color w:val="auto"/>
          <w:sz w:val="24"/>
        </w:rPr>
        <w:t>How can this product be sold?</w:t>
      </w:r>
      <w:r w:rsidRPr="0049312F">
        <w:rPr>
          <w:rFonts w:ascii="Arial" w:eastAsia="Arial" w:hAnsi="Arial" w:cs="Arial"/>
          <w:color w:val="auto"/>
          <w:sz w:val="24"/>
        </w:rPr>
        <w:t xml:space="preserve"> </w:t>
      </w:r>
    </w:p>
    <w:p w14:paraId="3E32C17D" w14:textId="77777777" w:rsidR="00373CC7" w:rsidRPr="0049312F" w:rsidRDefault="00AE3A01">
      <w:pPr>
        <w:spacing w:after="133" w:line="251" w:lineRule="auto"/>
        <w:ind w:left="-5" w:right="2" w:hanging="10"/>
        <w:jc w:val="both"/>
        <w:rPr>
          <w:rFonts w:ascii="Arial" w:hAnsi="Arial" w:cs="Arial"/>
          <w:color w:val="auto"/>
        </w:rPr>
      </w:pPr>
      <w:r w:rsidRPr="0049312F">
        <w:rPr>
          <w:rFonts w:ascii="Arial" w:eastAsia="Arial" w:hAnsi="Arial" w:cs="Arial"/>
          <w:color w:val="auto"/>
          <w:sz w:val="24"/>
        </w:rPr>
        <w:t xml:space="preserve">We would suggest that this product can be sold face to face, by email, or via telephone. </w:t>
      </w:r>
    </w:p>
    <w:p w14:paraId="3C35BB51" w14:textId="77777777" w:rsidR="00373CC7" w:rsidRPr="0049312F" w:rsidRDefault="00AE3A01">
      <w:pPr>
        <w:rPr>
          <w:color w:val="auto"/>
        </w:rPr>
      </w:pPr>
      <w:r w:rsidRPr="0049312F">
        <w:rPr>
          <w:color w:val="auto"/>
        </w:rPr>
        <w:t xml:space="preserve"> </w:t>
      </w:r>
    </w:p>
    <w:p w14:paraId="745FE345" w14:textId="77777777" w:rsidR="00373CC7" w:rsidRPr="0049312F" w:rsidRDefault="00AE3A01">
      <w:pPr>
        <w:rPr>
          <w:color w:val="auto"/>
        </w:rPr>
      </w:pPr>
      <w:r w:rsidRPr="0049312F">
        <w:rPr>
          <w:color w:val="auto"/>
        </w:rPr>
        <w:t xml:space="preserve"> </w:t>
      </w:r>
    </w:p>
    <w:p w14:paraId="1D9ECDE6" w14:textId="77777777" w:rsidR="00373CC7" w:rsidRPr="0049312F" w:rsidRDefault="00AE3A01">
      <w:pPr>
        <w:rPr>
          <w:color w:val="auto"/>
        </w:rPr>
      </w:pPr>
      <w:r w:rsidRPr="0049312F">
        <w:rPr>
          <w:color w:val="auto"/>
        </w:rPr>
        <w:t xml:space="preserve"> </w:t>
      </w:r>
    </w:p>
    <w:p w14:paraId="704D9F88" w14:textId="77777777" w:rsidR="00373CC7" w:rsidRPr="0049312F" w:rsidRDefault="00AE3A01">
      <w:pPr>
        <w:rPr>
          <w:color w:val="auto"/>
        </w:rPr>
      </w:pPr>
      <w:r w:rsidRPr="0049312F">
        <w:rPr>
          <w:color w:val="auto"/>
        </w:rPr>
        <w:t xml:space="preserve"> </w:t>
      </w:r>
    </w:p>
    <w:p w14:paraId="6CEE2056" w14:textId="77777777" w:rsidR="00373CC7" w:rsidRPr="0049312F" w:rsidRDefault="00AE3A01">
      <w:pPr>
        <w:spacing w:after="161"/>
        <w:rPr>
          <w:color w:val="auto"/>
        </w:rPr>
      </w:pPr>
      <w:r w:rsidRPr="0049312F">
        <w:rPr>
          <w:color w:val="auto"/>
        </w:rPr>
        <w:t xml:space="preserve"> </w:t>
      </w:r>
    </w:p>
    <w:p w14:paraId="065B6DDE" w14:textId="77777777" w:rsidR="00373CC7" w:rsidRPr="0049312F" w:rsidRDefault="00AE3A01">
      <w:pPr>
        <w:rPr>
          <w:color w:val="auto"/>
        </w:rPr>
      </w:pPr>
      <w:r w:rsidRPr="0049312F">
        <w:rPr>
          <w:color w:val="auto"/>
        </w:rPr>
        <w:t xml:space="preserve"> </w:t>
      </w:r>
    </w:p>
    <w:p w14:paraId="7C92A367" w14:textId="77777777" w:rsidR="00373CC7" w:rsidRPr="0049312F" w:rsidRDefault="00AE3A01">
      <w:pPr>
        <w:spacing w:after="151"/>
        <w:rPr>
          <w:color w:val="auto"/>
        </w:rPr>
      </w:pPr>
      <w:r w:rsidRPr="0049312F">
        <w:rPr>
          <w:color w:val="auto"/>
        </w:rPr>
        <w:t xml:space="preserve"> </w:t>
      </w:r>
    </w:p>
    <w:p w14:paraId="2093AABE" w14:textId="77777777" w:rsidR="00373CC7" w:rsidRPr="0049312F" w:rsidRDefault="00AE3A01">
      <w:pPr>
        <w:rPr>
          <w:color w:val="auto"/>
        </w:rPr>
      </w:pPr>
      <w:r w:rsidRPr="0049312F">
        <w:rPr>
          <w:color w:val="auto"/>
        </w:rPr>
        <w:t xml:space="preserve"> </w:t>
      </w:r>
    </w:p>
    <w:p w14:paraId="5C0A0C78" w14:textId="77777777" w:rsidR="00373CC7" w:rsidRPr="0049312F" w:rsidRDefault="00AE3A01">
      <w:pPr>
        <w:rPr>
          <w:color w:val="auto"/>
        </w:rPr>
      </w:pPr>
      <w:r w:rsidRPr="0049312F">
        <w:rPr>
          <w:color w:val="auto"/>
        </w:rPr>
        <w:t xml:space="preserve"> </w:t>
      </w:r>
    </w:p>
    <w:p w14:paraId="088D4272" w14:textId="77777777" w:rsidR="00373CC7" w:rsidRPr="0049312F" w:rsidRDefault="00AE3A01">
      <w:pPr>
        <w:rPr>
          <w:color w:val="auto"/>
        </w:rPr>
      </w:pPr>
      <w:r w:rsidRPr="0049312F">
        <w:rPr>
          <w:color w:val="auto"/>
        </w:rPr>
        <w:t xml:space="preserve"> </w:t>
      </w:r>
    </w:p>
    <w:p w14:paraId="2E3AC3A4" w14:textId="77777777" w:rsidR="00373CC7" w:rsidRPr="0049312F" w:rsidRDefault="00AE3A01">
      <w:pPr>
        <w:rPr>
          <w:color w:val="auto"/>
        </w:rPr>
      </w:pPr>
      <w:r w:rsidRPr="0049312F">
        <w:rPr>
          <w:color w:val="auto"/>
        </w:rPr>
        <w:t xml:space="preserve"> </w:t>
      </w:r>
    </w:p>
    <w:p w14:paraId="1F703536" w14:textId="77777777" w:rsidR="00373CC7" w:rsidRPr="0049312F" w:rsidRDefault="00AE3A01">
      <w:pPr>
        <w:rPr>
          <w:color w:val="auto"/>
        </w:rPr>
      </w:pPr>
      <w:r w:rsidRPr="0049312F">
        <w:rPr>
          <w:color w:val="auto"/>
        </w:rPr>
        <w:t xml:space="preserve"> </w:t>
      </w:r>
    </w:p>
    <w:p w14:paraId="2EB608CC" w14:textId="77777777" w:rsidR="00373CC7" w:rsidRPr="0049312F" w:rsidRDefault="00AE3A01">
      <w:pPr>
        <w:spacing w:after="161"/>
        <w:rPr>
          <w:color w:val="auto"/>
        </w:rPr>
      </w:pPr>
      <w:r w:rsidRPr="0049312F">
        <w:rPr>
          <w:color w:val="auto"/>
        </w:rPr>
        <w:t xml:space="preserve"> </w:t>
      </w:r>
    </w:p>
    <w:p w14:paraId="187C4C15" w14:textId="77777777" w:rsidR="00373CC7" w:rsidRPr="0049312F" w:rsidRDefault="00AE3A01">
      <w:pPr>
        <w:spacing w:after="120"/>
        <w:rPr>
          <w:color w:val="auto"/>
        </w:rPr>
      </w:pPr>
      <w:r w:rsidRPr="0049312F">
        <w:rPr>
          <w:color w:val="auto"/>
        </w:rPr>
        <w:lastRenderedPageBreak/>
        <w:t xml:space="preserve"> </w:t>
      </w:r>
    </w:p>
    <w:p w14:paraId="737F9087" w14:textId="77777777" w:rsidR="00373CC7" w:rsidRPr="0049312F" w:rsidRDefault="00AE3A01">
      <w:pPr>
        <w:spacing w:after="163"/>
        <w:rPr>
          <w:color w:val="auto"/>
        </w:rPr>
      </w:pPr>
      <w:r w:rsidRPr="0049312F">
        <w:rPr>
          <w:color w:val="auto"/>
          <w:sz w:val="18"/>
        </w:rPr>
        <w:t xml:space="preserve"> </w:t>
      </w:r>
    </w:p>
    <w:p w14:paraId="7FD86F25" w14:textId="77777777" w:rsidR="00373CC7" w:rsidRPr="0049312F" w:rsidRDefault="00AE3A01">
      <w:pPr>
        <w:spacing w:after="163"/>
        <w:rPr>
          <w:color w:val="auto"/>
        </w:rPr>
      </w:pPr>
      <w:r w:rsidRPr="0049312F">
        <w:rPr>
          <w:color w:val="auto"/>
          <w:sz w:val="18"/>
        </w:rPr>
        <w:t xml:space="preserve"> </w:t>
      </w:r>
    </w:p>
    <w:p w14:paraId="2D2CD20F" w14:textId="77777777" w:rsidR="00373CC7" w:rsidRPr="0049312F" w:rsidRDefault="00AE3A01">
      <w:pPr>
        <w:spacing w:after="153"/>
        <w:rPr>
          <w:color w:val="auto"/>
        </w:rPr>
      </w:pPr>
      <w:r w:rsidRPr="0049312F">
        <w:rPr>
          <w:color w:val="auto"/>
          <w:sz w:val="18"/>
        </w:rPr>
        <w:t xml:space="preserve"> </w:t>
      </w:r>
    </w:p>
    <w:p w14:paraId="2B83476B" w14:textId="77777777" w:rsidR="00373CC7" w:rsidRPr="0049312F" w:rsidRDefault="00AE3A01">
      <w:pPr>
        <w:spacing w:after="163"/>
        <w:rPr>
          <w:color w:val="auto"/>
        </w:rPr>
      </w:pPr>
      <w:r w:rsidRPr="0049312F">
        <w:rPr>
          <w:color w:val="auto"/>
          <w:sz w:val="18"/>
        </w:rPr>
        <w:t xml:space="preserve"> </w:t>
      </w:r>
    </w:p>
    <w:p w14:paraId="66578FA9" w14:textId="52DCA695" w:rsidR="00373CC7" w:rsidRPr="0049312F" w:rsidRDefault="00AE3A01">
      <w:pPr>
        <w:spacing w:after="0"/>
        <w:rPr>
          <w:color w:val="auto"/>
        </w:rPr>
      </w:pPr>
      <w:r w:rsidRPr="0049312F">
        <w:rPr>
          <w:color w:val="auto"/>
          <w:sz w:val="18"/>
        </w:rPr>
        <w:t xml:space="preserve">Version: </w:t>
      </w:r>
      <w:r w:rsidR="00CA3F93" w:rsidRPr="0049312F">
        <w:rPr>
          <w:color w:val="auto"/>
          <w:sz w:val="18"/>
        </w:rPr>
        <w:t>September 2024</w:t>
      </w:r>
      <w:r w:rsidRPr="0049312F">
        <w:rPr>
          <w:color w:val="auto"/>
          <w:sz w:val="18"/>
        </w:rPr>
        <w:t xml:space="preserve"> </w:t>
      </w:r>
    </w:p>
    <w:sectPr w:rsidR="00373CC7" w:rsidRPr="0049312F">
      <w:headerReference w:type="even" r:id="rId6"/>
      <w:headerReference w:type="default" r:id="rId7"/>
      <w:footerReference w:type="even" r:id="rId8"/>
      <w:footerReference w:type="default" r:id="rId9"/>
      <w:headerReference w:type="first" r:id="rId10"/>
      <w:footerReference w:type="first" r:id="rId11"/>
      <w:pgSz w:w="11910" w:h="16840"/>
      <w:pgMar w:top="1709" w:right="1436" w:bottom="1543" w:left="1441" w:header="708"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3E114" w14:textId="77777777" w:rsidR="00AE3A01" w:rsidRDefault="00AE3A01">
      <w:pPr>
        <w:spacing w:after="0" w:line="240" w:lineRule="auto"/>
      </w:pPr>
      <w:r>
        <w:separator/>
      </w:r>
    </w:p>
  </w:endnote>
  <w:endnote w:type="continuationSeparator" w:id="0">
    <w:p w14:paraId="0A829EF6" w14:textId="77777777" w:rsidR="00AE3A01" w:rsidRDefault="00AE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765A" w14:textId="77777777" w:rsidR="00373CC7" w:rsidRDefault="00AE3A01">
    <w:pPr>
      <w:spacing w:after="0" w:line="248" w:lineRule="auto"/>
      <w:ind w:right="143"/>
      <w:jc w:val="both"/>
    </w:pPr>
    <w:r>
      <w:rPr>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23E79" w14:textId="77777777" w:rsidR="00373CC7" w:rsidRDefault="00AE3A01">
    <w:pPr>
      <w:spacing w:after="0" w:line="248" w:lineRule="auto"/>
      <w:ind w:right="143"/>
      <w:jc w:val="both"/>
    </w:pPr>
    <w:r>
      <w:rPr>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7767" w14:textId="77777777" w:rsidR="00373CC7" w:rsidRDefault="00AE3A01">
    <w:pPr>
      <w:spacing w:after="0" w:line="248" w:lineRule="auto"/>
      <w:ind w:right="143"/>
      <w:jc w:val="both"/>
    </w:pPr>
    <w:r>
      <w:rPr>
        <w:sz w:val="16"/>
      </w:rPr>
      <w:t>Q Underwriting is trading name of Q Underwriting Services Limited. Q Underwriting Services Limited is authorised and regulated by the Financial Conduct Authority FRN 657367. Registered in England under No. 08946569. Registered office: Rossington’s Business Park, West Carr Road, Retford, Nottinghamshire, DN22 7SW</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9709D" w14:textId="77777777" w:rsidR="00AE3A01" w:rsidRDefault="00AE3A01">
      <w:pPr>
        <w:spacing w:after="0" w:line="240" w:lineRule="auto"/>
      </w:pPr>
      <w:r>
        <w:separator/>
      </w:r>
    </w:p>
  </w:footnote>
  <w:footnote w:type="continuationSeparator" w:id="0">
    <w:p w14:paraId="349BFF51" w14:textId="77777777" w:rsidR="00AE3A01" w:rsidRDefault="00AE3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EE105" w14:textId="77777777" w:rsidR="00373CC7" w:rsidRDefault="00AE3A01">
    <w:pPr>
      <w:spacing w:after="0"/>
      <w:ind w:left="-1" w:right="4930"/>
      <w:jc w:val="center"/>
    </w:pPr>
    <w:r>
      <w:rPr>
        <w:noProof/>
      </w:rPr>
      <w:drawing>
        <wp:anchor distT="0" distB="0" distL="114300" distR="114300" simplePos="0" relativeHeight="251658240" behindDoc="0" locked="0" layoutInCell="1" allowOverlap="0" wp14:anchorId="3ECB59F9" wp14:editId="1A476A05">
          <wp:simplePos x="0" y="0"/>
          <wp:positionH relativeFrom="page">
            <wp:posOffset>914400</wp:posOffset>
          </wp:positionH>
          <wp:positionV relativeFrom="page">
            <wp:posOffset>449580</wp:posOffset>
          </wp:positionV>
          <wp:extent cx="2568829" cy="44767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t xml:space="preserve"> </w:t>
    </w:r>
  </w:p>
  <w:p w14:paraId="26AB706F" w14:textId="77777777" w:rsidR="00373CC7" w:rsidRDefault="00AE3A01">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E92B" w14:textId="77777777" w:rsidR="00373CC7" w:rsidRDefault="00AE3A01">
    <w:pPr>
      <w:spacing w:after="0"/>
      <w:ind w:left="-1" w:right="4930"/>
      <w:jc w:val="center"/>
    </w:pPr>
    <w:r>
      <w:rPr>
        <w:noProof/>
      </w:rPr>
      <w:drawing>
        <wp:anchor distT="0" distB="0" distL="114300" distR="114300" simplePos="0" relativeHeight="251659264" behindDoc="0" locked="0" layoutInCell="1" allowOverlap="0" wp14:anchorId="40BAFD03" wp14:editId="60892299">
          <wp:simplePos x="0" y="0"/>
          <wp:positionH relativeFrom="page">
            <wp:posOffset>914400</wp:posOffset>
          </wp:positionH>
          <wp:positionV relativeFrom="page">
            <wp:posOffset>449580</wp:posOffset>
          </wp:positionV>
          <wp:extent cx="2568829" cy="447675"/>
          <wp:effectExtent l="0" t="0" r="0" b="0"/>
          <wp:wrapSquare wrapText="bothSides"/>
          <wp:docPr id="611739955" name="Picture 611739955"/>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t xml:space="preserve"> </w:t>
    </w:r>
  </w:p>
  <w:p w14:paraId="2E3CF2A2" w14:textId="77777777" w:rsidR="00373CC7" w:rsidRDefault="00AE3A01">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8879" w14:textId="77777777" w:rsidR="00373CC7" w:rsidRDefault="00AE3A01">
    <w:pPr>
      <w:spacing w:after="0"/>
      <w:ind w:left="-1" w:right="4930"/>
      <w:jc w:val="center"/>
    </w:pPr>
    <w:r>
      <w:rPr>
        <w:noProof/>
      </w:rPr>
      <w:drawing>
        <wp:anchor distT="0" distB="0" distL="114300" distR="114300" simplePos="0" relativeHeight="251660288" behindDoc="0" locked="0" layoutInCell="1" allowOverlap="0" wp14:anchorId="08011E81" wp14:editId="2DFBE2F4">
          <wp:simplePos x="0" y="0"/>
          <wp:positionH relativeFrom="page">
            <wp:posOffset>914400</wp:posOffset>
          </wp:positionH>
          <wp:positionV relativeFrom="page">
            <wp:posOffset>449580</wp:posOffset>
          </wp:positionV>
          <wp:extent cx="2568829" cy="447675"/>
          <wp:effectExtent l="0" t="0" r="0" b="0"/>
          <wp:wrapSquare wrapText="bothSides"/>
          <wp:docPr id="2134322781" name="Picture 213432278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2568829" cy="447675"/>
                  </a:xfrm>
                  <a:prstGeom prst="rect">
                    <a:avLst/>
                  </a:prstGeom>
                </pic:spPr>
              </pic:pic>
            </a:graphicData>
          </a:graphic>
        </wp:anchor>
      </w:drawing>
    </w:r>
    <w:r>
      <w:t xml:space="preserve"> </w:t>
    </w:r>
  </w:p>
  <w:p w14:paraId="7EBC4A3E" w14:textId="77777777" w:rsidR="00373CC7" w:rsidRDefault="00AE3A01">
    <w:pPr>
      <w:spacing w:after="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C7"/>
    <w:rsid w:val="00373CC7"/>
    <w:rsid w:val="0049312F"/>
    <w:rsid w:val="006A3361"/>
    <w:rsid w:val="00AE3A01"/>
    <w:rsid w:val="00CA3F93"/>
    <w:rsid w:val="00EA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0ACC"/>
  <w15:docId w15:val="{03918A46-C652-4A64-95B1-C787FC53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30" w:line="251" w:lineRule="auto"/>
      <w:ind w:left="10" w:hanging="10"/>
      <w:outlineLvl w:val="0"/>
    </w:pPr>
    <w:rPr>
      <w:rFonts w:ascii="Arial" w:eastAsia="Arial" w:hAnsi="Arial" w:cs="Arial"/>
      <w:b/>
      <w:color w:val="4444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4444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Parkinson</dc:creator>
  <cp:keywords/>
  <cp:lastModifiedBy>Simon Tresadern</cp:lastModifiedBy>
  <cp:revision>2</cp:revision>
  <dcterms:created xsi:type="dcterms:W3CDTF">2024-09-24T15:45:00Z</dcterms:created>
  <dcterms:modified xsi:type="dcterms:W3CDTF">2024-09-24T15:45:00Z</dcterms:modified>
</cp:coreProperties>
</file>